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地下水资源常规监测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阳兵华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13875638251</w:t>
            </w:r>
            <w:bookmarkStart w:id="0" w:name="_GoBack"/>
            <w:bookmarkEnd w:id="0"/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地下水资源常规监测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430846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Z01510 地下水资源常规监测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万元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地下水资源常规监测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color w:val="FF0000"/>
                <w:sz w:val="18"/>
                <w:szCs w:val="18"/>
              </w:rPr>
              <w:t>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承担衡阳市辖区内地下水常规监测任务，含：12处国家级监测站点设施设备的运行与维护，地下水水位与水温的常规监测，地下水质监测，对地下水监测运行维护以及地下水监测的数据进行整理，开展地下水状况分析报告及运行维护工作报告等综合型研究工作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成本合理性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项目预算是否合理，资金额度与年度工作目标是否相适应。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都合理的得满分，每有一项不满足扣5分。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项目实施过程中带来的社会成本影响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项目对社会发展、公共福利等方面是否造成负面影响。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未产生负面效果的得满分；每投诉一次扣2分，扣完为止。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项目实施过程中带来的生态环境影响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项目对自然生态环境是否造成负面影响。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未产生负面效果的得满分；每投诉一次扣2分，扣完为止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项目实际完成率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开展12处国家级监测站点设备运行与维护，及时开展地下水位与水温常规监测，获取37项常规测试数据，编制月报、季报、半年报及年度检测报告。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项目验收合格率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建立质量管理体系建设，二级检查一级验收的制度落实情况。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项目通过相关部门组织的验收得满分，否则不计分。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项目完工及时率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按月、季度、半年</w:t>
            </w:r>
            <w:r>
              <w:rPr>
                <w:rFonts w:hint="eastAsia" w:ascii="宋体"/>
                <w:sz w:val="18"/>
                <w:szCs w:val="18"/>
              </w:rPr>
              <w:t>制作报表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、图件及综合研究报告，</w:t>
            </w:r>
            <w:r>
              <w:rPr>
                <w:rFonts w:hint="eastAsia" w:ascii="宋体"/>
                <w:sz w:val="18"/>
                <w:szCs w:val="18"/>
              </w:rPr>
              <w:t>并移交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省自然资源事务中心</w:t>
            </w:r>
            <w:r>
              <w:rPr>
                <w:rFonts w:hint="eastAsia" w:ascii="宋体"/>
                <w:sz w:val="18"/>
                <w:szCs w:val="18"/>
              </w:rPr>
              <w:t>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项目均按计划工期完成项目实施内容得满分，每发生一次延期扣1分。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项目成果对经济效益带来的经济影响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是否动态监测和保护区内地下水资源。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项目成果社会发展带来的社会影响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是否对社会发展带来了有效的影响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项目成果对自然生态环境带来的生态影响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是否对生态文明建设起到了有效的影响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未产生负面效果的得满分，否则不计分。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项目成果在项目完成后带来的可持续影响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通过项目的实施有效地监测了区内地下水质的变化情况；为政府加强地下水保护提供决策依据。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通过项目实施能够推进指标值任一事项的得满分，否则不计分。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社会公众或服务对象满意度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社会公众和服务对象对项目实施的满意程度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未产生投诉的得满分，每投诉一次扣2分，扣完为止。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75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5ZjA2M2Y2MWE3MTg3Zjg2NGMyZTcxZjM5N2Q5NmYifQ=="/>
  </w:docVars>
  <w:rsids>
    <w:rsidRoot w:val="00000000"/>
    <w:rsid w:val="13947228"/>
    <w:rsid w:val="177B5642"/>
    <w:rsid w:val="26FC58CB"/>
    <w:rsid w:val="38B0091E"/>
    <w:rsid w:val="4076752A"/>
    <w:rsid w:val="511049D3"/>
    <w:rsid w:val="79825AA2"/>
    <w:rsid w:val="7AE4186B"/>
    <w:rsid w:val="7EF40A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1392</Words>
  <Characters>1474</Characters>
  <TotalTime>0</TotalTime>
  <ScaleCrop>false</ScaleCrop>
  <LinksUpToDate>false</LinksUpToDate>
  <CharactersWithSpaces>1484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2022-12-30T02:44:00Z</dcterms:created>
  <dc:creator>Administrator</dc:creator>
  <cp:lastModifiedBy>海涛</cp:lastModifiedBy>
  <dcterms:modified xsi:type="dcterms:W3CDTF">2023-01-18T04:28:47Z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5EC06D94749A4424AB683AF1382F32F7</vt:lpwstr>
  </property>
</Properties>
</file>