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应急测绘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组建应急测绘队伍，配备应急测绘装备和设备，组织开展应急测绘培训和演练，有效保障人民群众生命和财产安全。</w:t>
            </w:r>
            <w:bookmarkStart w:id="0" w:name="_GoBack"/>
            <w:bookmarkEnd w:id="0"/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430843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Z01507 应急测绘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万元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应急测绘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组建应急测绘队伍，配备应急测绘装备和设备，组织开展应急测绘培训和演练，有效保障人民群众生命和财产安全。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5"/>
        <w:gridCol w:w="925"/>
        <w:gridCol w:w="925"/>
        <w:gridCol w:w="925"/>
        <w:gridCol w:w="925"/>
        <w:gridCol w:w="925"/>
        <w:gridCol w:w="925"/>
        <w:gridCol w:w="926"/>
        <w:gridCol w:w="93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成本控制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考察预算成本控制情况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预算成本控制在100%以内计20分，每超过1%扣1分，扣完为止。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符合应急响应需求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考察应急人员、装备等方面的响应情况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达到要求在90%以上计40分，每降低1%扣1分。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40分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落实年度应急演练时间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2023年年底前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考察是否年度内完成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年内完成计10分，每超过1个月扣5分。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月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获得项目资金工作开展情况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有效推动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主要考察是否对应急保障水平起到提高和促进效率的作用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有效保障应急响应得满分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定性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服务对象满意程度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主要考察获得资金的单位对应急测绘的满意度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满意度≥90得满分，每下降1%扣1分，扣完为止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10分</w:t>
            </w:r>
          </w:p>
        </w:tc>
      </w:tr>
    </w:tbl>
    <w:p/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1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GRkODY0ODc0ZjNkNzEwMzA0Njc2ZWFjYjdjMWJkOGIifQ=="/>
  </w:docVars>
  <w:rsids>
    <w:rsidRoot w:val="00A865C5"/>
    <w:rsid w:val="00210933"/>
    <w:rsid w:val="00A865C5"/>
    <w:rsid w:val="00F57BD8"/>
    <w:rsid w:val="00FB106C"/>
    <w:rsid w:val="28EC013C"/>
    <w:rsid w:val="691C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EastAsia" w:hAnsiTheme="minorEastAsia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outlineLvl w:val="2"/>
    </w:pPr>
    <w:rPr>
      <w:rFonts w:hint="eastAsia" w:ascii="宋体" w:hAnsi="宋体" w:eastAsia="宋体"/>
      <w:b/>
      <w:bCs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宋体" w:hAnsi="宋体" w:eastAsia="宋体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Autospacing="1" w:afterAutospacing="1"/>
      <w:outlineLvl w:val="4"/>
    </w:pPr>
    <w:rPr>
      <w:rFonts w:hint="eastAsia" w:ascii="宋体" w:hAnsi="宋体" w:eastAsia="宋体"/>
      <w:b/>
      <w:bCs/>
      <w:sz w:val="20"/>
      <w:szCs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Autospacing="1" w:afterAutospacing="1"/>
      <w:outlineLvl w:val="5"/>
    </w:pPr>
    <w:rPr>
      <w:rFonts w:hint="eastAsia" w:ascii="宋体" w:hAnsi="宋体" w:eastAsia="宋体"/>
      <w:b/>
      <w:bCs/>
      <w:sz w:val="15"/>
      <w:szCs w:val="15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/>
    </w:rPr>
  </w:style>
  <w:style w:type="paragraph" w:styleId="9">
    <w:name w:val="Normal (Web)"/>
    <w:basedOn w:val="1"/>
    <w:uiPriority w:val="0"/>
    <w:pPr>
      <w:spacing w:beforeAutospacing="1" w:afterAutospacing="1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844</Words>
  <Characters>942</Characters>
  <Lines>8</Lines>
  <Paragraphs>2</Paragraphs>
  <TotalTime>0</TotalTime>
  <ScaleCrop>false</ScaleCrop>
  <LinksUpToDate>false</LinksUpToDate>
  <CharactersWithSpaces>952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2022-12-30T02:45:00Z</dcterms:created>
  <dc:creator>Administrator</dc:creator>
  <cp:lastModifiedBy>菩提树</cp:lastModifiedBy>
  <dcterms:modified xsi:type="dcterms:W3CDTF">2022-12-30T09:52:28Z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A982EC56D70548E1AAEB730932AB2D0B</vt:lpwstr>
  </property>
</Properties>
</file>