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1：500地形图更新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4000000.00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203 保基本民生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基础地理信息数据是国家空间数据基础设施的重要组成部分，是国家经济建设、社会发展、国防建设和生态保护中不可或缺的基础性和战略性信息资源。根据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省自然资源厅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《关于进一步推进全省基础测绘生产与更新工作的通知》（湘自然资办（2020）189号）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要求，</w:t>
            </w:r>
            <w:r>
              <w:rPr>
                <w:rFonts w:hint="eastAsia" w:ascii="宋体" w:hAnsi="宋体" w:cs="宋体"/>
                <w:sz w:val="18"/>
                <w:szCs w:val="18"/>
              </w:rPr>
              <w:t>2021年7月1日起,城镇开发边界范围内须启用现势性优于3年的1:500数据库作为全省审批业务底图，否则不予受理用地审批业务。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430556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Z01561 1：500地形图新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4000000.00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4000000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4000000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4000000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1：500地形图新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4000000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4000000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完成市本级1：500地形图</w:t>
            </w:r>
            <w:bookmarkStart w:id="0" w:name="_GoBack"/>
            <w:bookmarkEnd w:id="0"/>
            <w:r>
              <w:rPr>
                <w:rFonts w:hint="eastAsia" w:ascii="宋体"/>
                <w:sz w:val="18"/>
                <w:szCs w:val="18"/>
              </w:rPr>
              <w:t>生产与更新工作。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6"/>
        <w:gridCol w:w="93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成本控制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考察预算成本控制情况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预算成本控制在100%以内计20分，每超过1%扣1分，扣完为止。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完成1：500地形图面积情况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考察是否完成年度目标量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达到要求在90%以上计30分，每降低1%扣1分。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30分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符合成果质量要求率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考察成果质量得分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达到要求在90分以上计20分，每降低1分扣1分。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落实成果完成时间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2023年年底前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考察是否年度内完成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年内完成计10分，每超过1个月扣5分。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月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推进基础测绘成果共享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避免重复测绘，节约项目成本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主要考察基础测绘成果的应用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有效提升报批工作的效率得满分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定性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服务对象满意程度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主要考察获得资金的单位对项目成果的满意度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满意度≥90得满分，每下降1%扣1分，扣完为止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10分</w:t>
            </w:r>
          </w:p>
        </w:tc>
      </w:tr>
    </w:tbl>
    <w:p/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GRkODY0ODc0ZjNkNzEwMzA0Njc2ZWFjYjdjMWJkOGIifQ=="/>
  </w:docVars>
  <w:rsids>
    <w:rsidRoot w:val="006D20B3"/>
    <w:rsid w:val="001B0737"/>
    <w:rsid w:val="004E6C1D"/>
    <w:rsid w:val="006B4061"/>
    <w:rsid w:val="006D20B3"/>
    <w:rsid w:val="008C45D3"/>
    <w:rsid w:val="00C94539"/>
    <w:rsid w:val="2D22139B"/>
    <w:rsid w:val="65C21AF7"/>
    <w:rsid w:val="69ED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/>
      <w:b/>
      <w:bCs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Autospacing="1" w:afterAutospacing="1"/>
      <w:outlineLvl w:val="4"/>
    </w:pPr>
    <w:rPr>
      <w:rFonts w:hint="eastAsia" w:ascii="宋体" w:hAnsi="宋体" w:eastAsia="宋体"/>
      <w:b/>
      <w:bCs/>
      <w:sz w:val="20"/>
      <w:szCs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Autospacing="1" w:afterAutospacing="1"/>
      <w:outlineLvl w:val="5"/>
    </w:pPr>
    <w:rPr>
      <w:rFonts w:hint="eastAsia" w:ascii="宋体" w:hAnsi="宋体" w:eastAsia="宋体"/>
      <w:b/>
      <w:bCs/>
      <w:sz w:val="15"/>
      <w:szCs w:val="15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/>
    </w:rPr>
  </w:style>
  <w:style w:type="paragraph" w:styleId="9">
    <w:name w:val="Normal (Web)"/>
    <w:basedOn w:val="1"/>
    <w:qFormat/>
    <w:uiPriority w:val="0"/>
    <w:pPr>
      <w:spacing w:beforeAutospacing="1" w:afterAutospacing="1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1026</Words>
  <Characters>1158</Characters>
  <Lines>9</Lines>
  <Paragraphs>2</Paragraphs>
  <TotalTime>1</TotalTime>
  <ScaleCrop>false</ScaleCrop>
  <LinksUpToDate>false</LinksUpToDate>
  <CharactersWithSpaces>1168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2022-12-30T02:38:00Z</dcterms:created>
  <dc:creator>Administrator</dc:creator>
  <cp:lastModifiedBy>菩提树</cp:lastModifiedBy>
  <dcterms:modified xsi:type="dcterms:W3CDTF">2022-12-30T10:17:34Z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864B8AECC7DD4D3EA0DB320ACD0C2D01</vt:lpwstr>
  </property>
</Properties>
</file>