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ackground w:color="FFFFFF"/>
  <w:body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基本信息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市县乡三级自然资源业务专网租赁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 本级申报项目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610000.00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0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否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202 保运转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市县乡三级自然资源业务专网租赁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项目测算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430539 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Z01548 市县乡三级自然资源业务专网租赁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610000.00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610000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610000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610000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市县乡三级自然资源业务专网租赁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分年支出计划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89"/>
        <w:gridCol w:w="1389"/>
      </w:tblGrid>
      <w:tr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社会投入资金</w:t>
            </w:r>
          </w:p>
        </w:tc>
      </w:tr>
      <w:tr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610000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610000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项目资产配置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0"/>
        <w:gridCol w:w="1190"/>
        <w:gridCol w:w="1190"/>
        <w:gridCol w:w="1190"/>
        <w:gridCol w:w="1190"/>
        <w:gridCol w:w="1190"/>
      </w:tblGrid>
      <w:tr>
        <w:trPr>
          <w:trHeight w:val="600"/>
        </w:trPr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项目存量资产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rPr>
          <w:trHeight w:val="600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项目绩效目标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网络运营商线路租用，外网资源租用，保障局网络畅通运行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项目绩效指标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5"/>
        <w:gridCol w:w="925"/>
        <w:gridCol w:w="925"/>
        <w:gridCol w:w="925"/>
        <w:gridCol w:w="925"/>
        <w:gridCol w:w="925"/>
        <w:gridCol w:w="925"/>
        <w:gridCol w:w="925"/>
        <w:gridCol w:w="934"/>
      </w:tblGrid>
      <w:tr>
        <w:trPr>
          <w:trHeight w:val="600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分解指标</w:t>
            </w:r>
          </w:p>
        </w:tc>
      </w:tr>
      <w:tr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备注</w:t>
            </w:r>
          </w:p>
        </w:tc>
      </w:tr>
      <w:tr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成本控制率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控制在预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算内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控制在100%以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内得满分，超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过否则不计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项目验收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合格率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50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保障网络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通畅运行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运行通畅计满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分，否则不计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计划工作完成时间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2023年1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月-2023年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12月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按时完成得满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分，否则不计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项目对社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会带来的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效益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对网络运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行环境体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验感改善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或提升程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完成得满分，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否则不计分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项目带来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的可持续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r>
              <w:t>为自然资</w:t>
            </w:r>
          </w:p>
          <w:p>
            <w:r>
              <w:t>源业务提</w:t>
            </w:r>
          </w:p>
          <w:p>
            <w:r>
              <w:t>供可持续</w:t>
            </w:r>
          </w:p>
          <w:p>
            <w:r>
              <w:t>性服务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完成得满分，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否则不计分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服务对象满意度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用户对项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目的满意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未投诉得满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分，每投诉一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次扣20分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  <w:bookmarkStart w:id="0" w:name="_GoBack"/>
            <w:bookmarkEnd w:id="0"/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/>
    <w:sectPr>
      <w:pgSz w:w="11906" w:h="16839"/>
      <w:pgMar w:top="1440" w:right="1800" w:bottom="1440" w:left="1800" w:header="851" w:footer="992" w:gutter="0"/>
      <w:docGrid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6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1"/>
  <w:noPunctuationKerning/>
  <w:savePreviewPicture/>
  <w:compat>
    <w:spaceForUL/>
    <w:growAutofit/>
    <w:compatSetting w:name="compatibilityMode" w:uri="http://schemas.microsoft.com/office/word" w:val="14"/>
  </w:compat>
  <w:docVars>
    <w:docVar w:name="commondata" w:val="eyJoZGlkIjoiZjYwYjFmYWQ5MzljZjVhMjE3MTdkMmJlODU4YzQ2YjM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rPr>
      <w:rFonts w:ascii="宋体" w:eastAsia="宋体" w:cs="Times New Roman"/>
      <w:sz w:val="24"/>
      <w:szCs w:val="24"/>
      <w:lang w:val="en-US" w:eastAsia="zh-CN" w:bidi="ar-SA"/>
    </w:rPr>
  </w:style>
  <w:style w:type="paragraph" w:styleId="1">
    <w:name w:val="heading 1"/>
    <w:basedOn w:val="0"/>
    <w:next w:val="0"/>
    <w:pPr>
      <w:spacing w:beforeAutospacing="1" w:afterAutospacing="1"/>
      <w:outlineLvl w:val="0"/>
    </w:pPr>
    <w:rPr>
      <w:rFonts w:ascii="宋体" w:eastAsia="宋体"/>
      <w:b/>
      <w:bCs/>
      <w:kern w:val="44"/>
      <w:sz w:val="48"/>
      <w:szCs w:val="48"/>
    </w:rPr>
  </w:style>
  <w:style w:type="paragraph" w:styleId="2">
    <w:name w:val="heading 2"/>
    <w:basedOn w:val="0"/>
    <w:next w:val="0"/>
    <w:pPr>
      <w:spacing w:beforeAutospacing="1" w:afterAutospacing="1"/>
      <w:outlineLvl w:val="1"/>
    </w:pPr>
    <w:rPr>
      <w:rFonts w:ascii="宋体" w:eastAsia="宋体"/>
      <w:b/>
      <w:bCs/>
      <w:sz w:val="36"/>
      <w:szCs w:val="36"/>
    </w:rPr>
  </w:style>
  <w:style w:type="paragraph" w:styleId="3">
    <w:name w:val="heading 3"/>
    <w:basedOn w:val="0"/>
    <w:next w:val="0"/>
    <w:pPr>
      <w:spacing w:beforeAutospacing="1" w:afterAutospacing="1"/>
      <w:outlineLvl w:val="2"/>
    </w:pPr>
    <w:rPr>
      <w:rFonts w:ascii="宋体" w:eastAsia="宋体"/>
      <w:b/>
      <w:bCs/>
      <w:sz w:val="27"/>
      <w:szCs w:val="27"/>
    </w:rPr>
  </w:style>
  <w:style w:type="paragraph" w:styleId="4">
    <w:name w:val="heading 4"/>
    <w:basedOn w:val="0"/>
    <w:next w:val="0"/>
    <w:pPr>
      <w:spacing w:beforeAutospacing="1" w:afterAutospacing="1"/>
      <w:outlineLvl w:val="3"/>
    </w:pPr>
    <w:rPr>
      <w:rFonts w:ascii="宋体" w:eastAsia="宋体"/>
      <w:b/>
      <w:bCs/>
    </w:rPr>
  </w:style>
  <w:style w:type="paragraph" w:styleId="5">
    <w:name w:val="heading 5"/>
    <w:basedOn w:val="0"/>
    <w:next w:val="0"/>
    <w:pPr>
      <w:spacing w:beforeAutospacing="1" w:afterAutospacing="1"/>
      <w:outlineLvl w:val="4"/>
    </w:pPr>
    <w:rPr>
      <w:rFonts w:ascii="宋体" w:eastAsia="宋体"/>
      <w:b/>
      <w:bCs/>
      <w:sz w:val="20"/>
      <w:szCs w:val="20"/>
    </w:rPr>
  </w:style>
  <w:style w:type="paragraph" w:styleId="6">
    <w:name w:val="heading 6"/>
    <w:basedOn w:val="0"/>
    <w:next w:val="0"/>
    <w:pPr>
      <w:spacing w:beforeAutospacing="1" w:afterAutospacing="1"/>
      <w:outlineLvl w:val="5"/>
    </w:pPr>
    <w:rPr>
      <w:rFonts w:ascii="宋体" w:eastAsia="宋体"/>
      <w:b/>
      <w:bCs/>
      <w:sz w:val="15"/>
      <w:szCs w:val="15"/>
    </w:rPr>
  </w:style>
  <w:style w:type="character" w:default="1" w:styleId="10">
    <w:name w:val="Default Paragraph Font"/>
  </w:style>
  <w:style w:type="paragraph" w:styleId="15">
    <w:name w:val="HTML Preformatted"/>
    <w:basedOn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/>
    </w:rPr>
  </w:style>
  <w:style w:type="paragraph" w:styleId="16">
    <w:name w:val="Normal (Web)"/>
    <w:basedOn w:val="0"/>
    <w:pPr>
      <w:spacing w:beforeAutospacing="1" w:afterAutospacing="1"/>
    </w:pPr>
  </w:style>
  <w:style w:type="paragraph" w:styleId="17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footer"/>
    <w:basedOn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9</TotalTime>
  <Application>Yozo_Office</Application>
  <Pages>3</Pages>
  <Words>788</Words>
  <Characters>884</Characters>
  <Lines>302</Lines>
  <Paragraphs>180</Paragraphs>
  <CharactersWithSpaces>894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vivo用户</cp:lastModifiedBy>
  <cp:revision>4</cp:revision>
  <dcterms:created xsi:type="dcterms:W3CDTF">2022-12-30T02:39:00Z</dcterms:created>
  <dcterms:modified xsi:type="dcterms:W3CDTF">2023-01-18T04:33:23Z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2052-11.1.0.13703</vt:lpwstr>
  </property>
  <property fmtid="{D5CDD505-2E9C-101B-9397-08002B2CF9AE}" pid="3" name="ICV">
    <vt:lpwstr>B255F959F1E949AA89DF4C54B049FD5E</vt:lpwstr>
  </property>
</Properties>
</file>