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  <w:bookmarkStart w:id="0" w:name="_GoBack"/>
      <w:bookmarkEnd w:id="0"/>
    </w:p>
    <w:tbl>
      <w:tblPr>
        <w:tblStyle w:val="12"/>
        <w:tblW w:w="5000" w:type="pct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1668"/>
        <w:gridCol w:w="2502"/>
        <w:gridCol w:w="1668"/>
        <w:gridCol w:w="2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城市两违测绘奖励资金</w:t>
            </w:r>
          </w:p>
        </w:tc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伍红东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1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18873402966</w:t>
            </w:r>
          </w:p>
        </w:tc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5180000.00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城市两违测绘奖励资金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574"/>
        <w:gridCol w:w="445"/>
        <w:gridCol w:w="574"/>
        <w:gridCol w:w="574"/>
        <w:gridCol w:w="574"/>
        <w:gridCol w:w="445"/>
        <w:gridCol w:w="445"/>
        <w:gridCol w:w="445"/>
        <w:gridCol w:w="934"/>
        <w:gridCol w:w="445"/>
        <w:gridCol w:w="664"/>
        <w:gridCol w:w="664"/>
        <w:gridCol w:w="665"/>
        <w:gridCol w:w="446"/>
        <w:gridCol w:w="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430598 标准模板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Z01597 城市两违测绘奖励资金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5180000.00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5180000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5180000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5180000</w:t>
            </w: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城市两违测绘奖励资金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1390"/>
        <w:gridCol w:w="1390"/>
        <w:gridCol w:w="1390"/>
        <w:gridCol w:w="1390"/>
        <w:gridCol w:w="1390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5180000</w:t>
            </w:r>
          </w:p>
        </w:tc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5180000</w:t>
            </w:r>
          </w:p>
        </w:tc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1191"/>
        <w:gridCol w:w="1191"/>
        <w:gridCol w:w="1191"/>
        <w:gridCol w:w="1191"/>
        <w:gridCol w:w="1192"/>
        <w:gridCol w:w="1192"/>
        <w:gridCol w:w="1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4170"/>
        <w:gridCol w:w="4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2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1668"/>
        <w:gridCol w:w="6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1800" w:hRule="atLeast"/>
        </w:trPr>
        <w:tc>
          <w:tcPr>
            <w:tcW w:w="1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充分利用现有高空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铁塔视频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监控，实时识别违法用地、违法建设行为，提供智能预警、分析分发、移动核查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全流程数字化服务。按月动态巡查地表和建筑物变化，确保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通过高空铁塔视频监控和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人工巡查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相结合，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全面摸清、直观掌握衡阳市市本级地表变化，特别是集体建设用地现状和变化状况，及时发现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和按月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报告市本级各类违法用地、违法建设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行为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，特别是占用耕地行为，为政府提供“两违”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整治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依据。</w:t>
            </w:r>
          </w:p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858"/>
        <w:gridCol w:w="858"/>
        <w:gridCol w:w="858"/>
        <w:gridCol w:w="859"/>
        <w:gridCol w:w="859"/>
        <w:gridCol w:w="859"/>
        <w:gridCol w:w="859"/>
        <w:gridCol w:w="862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4983" w:type="pct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成本合理性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项目预算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是否合理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资金额度与年度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目标是否相适应。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项目实施过程中带来的社会成本影响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项目对社会发展、公共福利等方面是否造成了负面影响。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未产生负面效果的得满分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ascii="宋体" w:hAnsi="宋体" w:eastAsia="宋体" w:cs="宋体"/>
                <w:sz w:val="18"/>
                <w:szCs w:val="18"/>
              </w:rPr>
              <w:t>每投诉一次扣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分2分</w:t>
            </w:r>
            <w:r>
              <w:rPr>
                <w:rFonts w:ascii="宋体" w:hAnsi="宋体" w:eastAsia="宋体" w:cs="宋体"/>
                <w:sz w:val="18"/>
                <w:szCs w:val="18"/>
              </w:rPr>
              <w:t>，扣完为止。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项目实施过程中带来的</w:t>
            </w:r>
            <w:r>
              <w:rPr>
                <w:rFonts w:ascii="宋体" w:hAnsi="宋体" w:eastAsia="宋体" w:cs="宋体"/>
                <w:sz w:val="18"/>
                <w:szCs w:val="18"/>
              </w:rPr>
              <w:t>生态环境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成本影响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项目对自然生态环境是否造成了负面影响。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未产生负面效果的得满分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ascii="宋体" w:hAnsi="宋体" w:eastAsia="宋体" w:cs="宋体"/>
                <w:sz w:val="18"/>
                <w:szCs w:val="18"/>
              </w:rPr>
              <w:t>每投诉一次扣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2分 </w:t>
            </w:r>
            <w:r>
              <w:rPr>
                <w:rFonts w:ascii="宋体" w:hAnsi="宋体" w:eastAsia="宋体" w:cs="宋体"/>
                <w:sz w:val="18"/>
                <w:szCs w:val="18"/>
              </w:rPr>
              <w:t>，扣完为止。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对本年度的疑似违法图斑销号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完成所在行政区内的“两违”图斑整改销号工作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对行政区内对行政区内的所有“两违”图斑整改销号，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否则不计分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完成本年度两违图斑整改任务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建立质量管理体系建设，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图斑整改监测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落实情况。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“两违”图斑的整改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通过相关部门组织的验收得满分，否则不计分。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时</w:t>
            </w:r>
            <w:r>
              <w:rPr>
                <w:rFonts w:ascii="宋体" w:hAnsi="宋体" w:eastAsia="宋体" w:cs="宋体"/>
                <w:sz w:val="18"/>
                <w:szCs w:val="18"/>
              </w:rPr>
              <w:t>效性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“两违”</w:t>
            </w:r>
            <w:r>
              <w:rPr>
                <w:rFonts w:ascii="宋体" w:hAnsi="宋体" w:eastAsia="宋体" w:cs="宋体"/>
                <w:sz w:val="18"/>
                <w:szCs w:val="18"/>
              </w:rPr>
              <w:t>图斑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按年整改</w:t>
            </w:r>
            <w:r>
              <w:rPr>
                <w:rFonts w:ascii="宋体" w:hAnsi="宋体" w:eastAsia="宋体" w:cs="宋体"/>
                <w:sz w:val="18"/>
                <w:szCs w:val="18"/>
              </w:rPr>
              <w:t>清零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限期完成行政区内的所有违法图斑整改销号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否则不计分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1202" w:hRule="atLeast"/>
        </w:trPr>
        <w:tc>
          <w:tcPr>
            <w:tcW w:w="51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持续地理综合市情检查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节约征地拆迁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费用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按月监测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按年整改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通过项目实施能够推进指标值任一事项的，得满分，否则不计分。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项目成果对社会发展带来的社会影响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eastAsia="宋体" w:hAnsi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有效打击“违法用地”、“违法建设”行为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提升群众法制观念。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项目成果对自然生态环境带来的生态影响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是否对生态文明建设起到了有效的影响程度。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未产生负面效果的得满分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否则不计分。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项目成果在项目完成后带来的可持续影响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>（1）通过项目实施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从根本上减少“两违”行为。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</w:rPr>
              <w:t>（2）通过项目实施，为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两违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”查处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整改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发挥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激励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作用。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</w:rPr>
              <w:t>通过项目实施能够推进指标值任一事项的，得满分，否则不计分。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00" w:hRule="atLeast"/>
        </w:trPr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社会公众或服务对象满意度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用户对项目实施和服务的满意程度。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投诉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18"/>
                <w:szCs w:val="18"/>
              </w:rPr>
              <w:t>每投诉一次扣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sz w:val="18"/>
                <w:szCs w:val="18"/>
              </w:rPr>
              <w:t>分，扣完为止。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8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sz w:val="24"/>
          <w:szCs w:val="24"/>
        </w:rPr>
      </w:pPr>
    </w:p>
    <w:sectPr>
      <w:headerReference r:id="rId3" w:type="default"/>
      <w:footerReference r:id="rId4" w:type="default"/>
      <w:pgSz w:w="11906" w:h="16839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7354C7"/>
    <w:multiLevelType w:val="singleLevel"/>
    <w:tmpl w:val="B37354C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4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MDA3NjMzMGVmNzdhY2MwZjU5OTJjNTI0NDJiYjAifQ=="/>
  </w:docVars>
  <w:rsids>
    <w:rsidRoot w:val="00000000"/>
    <w:rsid w:val="1E7A3A1E"/>
    <w:rsid w:val="330C7E9E"/>
    <w:rsid w:val="3872282F"/>
    <w:rsid w:val="38CC4E8A"/>
    <w:rsid w:val="43B45997"/>
    <w:rsid w:val="4B5C4111"/>
    <w:rsid w:val="51205F64"/>
    <w:rsid w:val="5AC05880"/>
    <w:rsid w:val="5B1B30D1"/>
    <w:rsid w:val="62FE6677"/>
    <w:rsid w:val="67AD01B3"/>
    <w:rsid w:val="6DA07B1F"/>
    <w:rsid w:val="74DE70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1423</Words>
  <Characters>1523</Characters>
  <TotalTime>121</TotalTime>
  <ScaleCrop>false</ScaleCrop>
  <LinksUpToDate>false</LinksUpToDate>
  <CharactersWithSpaces>1536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2022-12-30T02:25:00Z</dcterms:created>
  <dc:creator>Administrator</dc:creator>
  <cp:lastModifiedBy>昕昕</cp:lastModifiedBy>
  <cp:lastPrinted>2023-01-18T02:41:00Z</cp:lastPrinted>
  <dcterms:modified xsi:type="dcterms:W3CDTF">2023-01-18T02:59:54Z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4A8CD7A6FAE746FAA095BE73E89CAB86</vt:lpwstr>
  </property>
</Properties>
</file>